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木垒哈萨克自治县财政局</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1.贯彻执行国家、自治区、自治州有关财政、税收、行政、事业单位国有资产管理的法规、制度和方针政策；组织拟订自治县财政、行政事业单位国有资产、财产评估、财务会计等方面的制度，并监督实施。</w:t>
      </w:r>
    </w:p>
    <w:p>
      <w:pPr>
        <w:ind w:firstLine="640" w:firstLineChars="200"/>
        <w:jc w:val="left"/>
        <w:rPr>
          <w:rFonts w:ascii="仿宋_GB2312" w:eastAsia="仿宋_GB2312"/>
          <w:sz w:val="32"/>
          <w:szCs w:val="32"/>
        </w:rPr>
      </w:pPr>
      <w:r>
        <w:rPr>
          <w:rFonts w:hint="eastAsia" w:ascii="仿宋_GB2312" w:eastAsia="仿宋_GB2312"/>
          <w:sz w:val="32"/>
          <w:szCs w:val="32"/>
        </w:rPr>
        <w:t>2.根据自治县国民经济和社会发展战略，制定自治县财政发展战略和中长期财政规划并组织实施；参与制定有关综合经济政策，提出运用财税政策实施地方经济调控和综合平衡社会财政的建议，对自治县财力进行综合平衡。</w:t>
      </w:r>
    </w:p>
    <w:p>
      <w:pPr>
        <w:ind w:firstLine="640" w:firstLineChars="200"/>
        <w:jc w:val="left"/>
        <w:rPr>
          <w:rFonts w:ascii="仿宋_GB2312" w:eastAsia="仿宋_GB2312"/>
          <w:sz w:val="32"/>
          <w:szCs w:val="32"/>
        </w:rPr>
      </w:pPr>
      <w:r>
        <w:rPr>
          <w:rFonts w:hint="eastAsia" w:ascii="仿宋_GB2312" w:eastAsia="仿宋_GB2312"/>
          <w:sz w:val="32"/>
          <w:szCs w:val="32"/>
        </w:rPr>
        <w:t>3.负责编制年度自治县本级预(决）算，代编自治县预决算草案并组织执行；审查编制、批复部门预算，受自治县人民政府委托，向自治县人大常委会报告自治县预算及执行情况，向自治县人大常委会报告决算和预算变更事项。</w:t>
      </w:r>
    </w:p>
    <w:p>
      <w:pPr>
        <w:ind w:firstLine="640" w:firstLineChars="200"/>
        <w:jc w:val="left"/>
        <w:rPr>
          <w:rFonts w:ascii="仿宋_GB2312" w:eastAsia="仿宋_GB2312"/>
          <w:sz w:val="32"/>
          <w:szCs w:val="32"/>
        </w:rPr>
      </w:pPr>
      <w:r>
        <w:rPr>
          <w:rFonts w:hint="eastAsia" w:ascii="仿宋_GB2312" w:eastAsia="仿宋_GB2312"/>
          <w:sz w:val="32"/>
          <w:szCs w:val="32"/>
        </w:rPr>
        <w:t>4.根据预算安排，拟订财政税收收入计划，并组织实施、管理和监督；按管理权限拟订减免税上报事项和对自治县预算影响较大的临时和特殊的地方税减免事项；负责非税性财政收入的征收与管理工作；会同有关部门审查批准行政事业性收费项目并参与标准的制定。</w:t>
      </w:r>
    </w:p>
    <w:p>
      <w:pPr>
        <w:ind w:firstLine="640" w:firstLineChars="200"/>
        <w:jc w:val="left"/>
        <w:rPr>
          <w:rFonts w:ascii="仿宋_GB2312" w:eastAsia="仿宋_GB2312"/>
          <w:sz w:val="32"/>
          <w:szCs w:val="32"/>
        </w:rPr>
      </w:pPr>
      <w:r>
        <w:rPr>
          <w:rFonts w:hint="eastAsia" w:ascii="仿宋_GB2312" w:eastAsia="仿宋_GB2312"/>
          <w:sz w:val="32"/>
          <w:szCs w:val="32"/>
        </w:rPr>
        <w:t>5.管理和监督由自治县本级承担的各项财政收入和财政支出；组织和监督自治县财政预算执行；负责地方财政收入入库缴解制度的制定；负责预算外资金的财务管理工作；负责预算外资金收支计划的核定及预算外资金财政专户管理工作；负责农业综合开发项目财务及资金、扶贫贷款贴息资金的管理工作、管理自治县统一发放工资工作。</w:t>
      </w:r>
    </w:p>
    <w:p>
      <w:pPr>
        <w:ind w:firstLine="640" w:firstLineChars="200"/>
        <w:jc w:val="left"/>
        <w:rPr>
          <w:rFonts w:ascii="仿宋_GB2312" w:eastAsia="仿宋_GB2312"/>
          <w:sz w:val="32"/>
          <w:szCs w:val="32"/>
        </w:rPr>
      </w:pPr>
      <w:r>
        <w:rPr>
          <w:rFonts w:hint="eastAsia" w:ascii="仿宋_GB2312" w:eastAsia="仿宋_GB2312"/>
          <w:sz w:val="32"/>
          <w:szCs w:val="32"/>
        </w:rPr>
        <w:t>6.拟订和执行需要自治县统一规定的开支标准和支出政策；贯彻执行《企业财务通则》，参与自治县社会保障制度的制定；拟订并执行自治县社会保障资金的财务制度、管理办法、基本建设财务制度；拟订自治县政府采购管理办法，指导、监督、检查自治县政府采购工作。</w:t>
      </w:r>
    </w:p>
    <w:p>
      <w:pPr>
        <w:ind w:firstLine="640" w:firstLineChars="200"/>
        <w:jc w:val="left"/>
        <w:rPr>
          <w:rFonts w:ascii="仿宋_GB2312" w:eastAsia="仿宋_GB2312"/>
          <w:sz w:val="32"/>
          <w:szCs w:val="32"/>
        </w:rPr>
      </w:pPr>
      <w:r>
        <w:rPr>
          <w:rFonts w:hint="eastAsia" w:ascii="仿宋_GB2312" w:eastAsia="仿宋_GB2312"/>
          <w:sz w:val="32"/>
          <w:szCs w:val="32"/>
        </w:rPr>
        <w:t>7.管理指导自治县会计工作，加强会计监督，规范会计行为，保障会计资料的真实完整.组织和管理会计人员的业务培训和会计人员从业资格；指导和管理社会审计工作。</w:t>
      </w:r>
    </w:p>
    <w:p>
      <w:pPr>
        <w:ind w:firstLine="640" w:firstLineChars="200"/>
        <w:jc w:val="left"/>
        <w:rPr>
          <w:rFonts w:ascii="仿宋_GB2312" w:eastAsia="仿宋_GB2312"/>
          <w:sz w:val="32"/>
          <w:szCs w:val="32"/>
        </w:rPr>
      </w:pPr>
      <w:r>
        <w:rPr>
          <w:rFonts w:hint="eastAsia" w:ascii="仿宋_GB2312" w:eastAsia="仿宋_GB2312"/>
          <w:sz w:val="32"/>
          <w:szCs w:val="32"/>
        </w:rPr>
        <w:t>8.执行自治县国有资本金基础管理的有关规章制度、管理办法；组织查处国有资产流失案件，负责国有资本金的统计、分析、管理和监督财产评估业务；负责企业和行政事业单位国有资产的管理。</w:t>
      </w:r>
    </w:p>
    <w:p>
      <w:pPr>
        <w:ind w:firstLine="640" w:firstLineChars="200"/>
        <w:jc w:val="left"/>
        <w:rPr>
          <w:rFonts w:ascii="仿宋_GB2312" w:eastAsia="仿宋_GB2312"/>
          <w:sz w:val="32"/>
          <w:szCs w:val="32"/>
        </w:rPr>
      </w:pPr>
      <w:r>
        <w:rPr>
          <w:rFonts w:hint="eastAsia" w:ascii="仿宋_GB2312" w:eastAsia="仿宋_GB2312"/>
          <w:sz w:val="32"/>
          <w:szCs w:val="32"/>
        </w:rPr>
        <w:t>9.参与研究自治县经济体制改革和企业改革，提出经济社会发展的意见和建议，配合实施经济体制改革和企业改革的各项措施。</w:t>
      </w:r>
    </w:p>
    <w:p>
      <w:pPr>
        <w:ind w:firstLine="640" w:firstLineChars="200"/>
        <w:jc w:val="left"/>
        <w:rPr>
          <w:rFonts w:ascii="仿宋_GB2312" w:eastAsia="仿宋_GB2312"/>
          <w:sz w:val="32"/>
          <w:szCs w:val="32"/>
        </w:rPr>
      </w:pPr>
      <w:r>
        <w:rPr>
          <w:rFonts w:hint="eastAsia" w:ascii="仿宋_GB2312" w:eastAsia="仿宋_GB2312"/>
          <w:sz w:val="32"/>
          <w:szCs w:val="32"/>
        </w:rPr>
        <w:t>10.监督财税方针政策、法律、法规的执行情况；检查监督县本级预算收入征收部门征收各项预算收入情况和本级各部门财务执行情况，检查验证税收征管质量和财税政策、法令制度的执行情况；检查财政支出管理中的重要问题，提出加强财政管理的政策建议。</w:t>
      </w:r>
    </w:p>
    <w:p>
      <w:pPr>
        <w:ind w:firstLine="640" w:firstLineChars="200"/>
        <w:jc w:val="left"/>
        <w:rPr>
          <w:rFonts w:ascii="仿宋_GB2312" w:eastAsia="仿宋_GB2312"/>
          <w:sz w:val="32"/>
          <w:szCs w:val="32"/>
        </w:rPr>
      </w:pPr>
      <w:r>
        <w:rPr>
          <w:rFonts w:hint="eastAsia" w:ascii="仿宋_GB2312" w:eastAsia="仿宋_GB2312"/>
          <w:sz w:val="32"/>
          <w:szCs w:val="32"/>
        </w:rPr>
        <w:t>11.指导、推进自治县国有及国有控股企业的改革和重组，促进国有资产合理流动和优化配置，推动国有经济布局和结构的战略性调整；按照有关规定，代表自治县人民政府向国有独资企业派出监事会和董事，向国有控股和国有参股企业派出董事、监事，负责监事会的日常管理工作.组织实施自治县国有企业股权管理、清产核资、资产评估、产权界定、产权登记和产权转让交易、资产统计、绩效评价及经济运行动态监测等工作；在授权范围内组织实施自治县企业国有产权转让；会同有关部门对自治县企业国有产权交易活动进行监督检查，规范国有产权交易活动。</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木垒哈萨克自治县财政局2023年度，实有人数</w:t>
      </w:r>
      <w:r>
        <w:rPr>
          <w:rFonts w:hint="eastAsia" w:ascii="仿宋_GB2312" w:eastAsia="仿宋_GB2312"/>
          <w:sz w:val="32"/>
          <w:szCs w:val="32"/>
          <w:lang w:val="zh-CN"/>
        </w:rPr>
        <w:t>100</w:t>
      </w:r>
      <w:r>
        <w:rPr>
          <w:rFonts w:hint="eastAsia" w:ascii="仿宋_GB2312" w:eastAsia="仿宋_GB2312"/>
          <w:sz w:val="32"/>
          <w:szCs w:val="32"/>
        </w:rPr>
        <w:t>人，其中：在职人员</w:t>
      </w:r>
      <w:r>
        <w:rPr>
          <w:rFonts w:hint="eastAsia" w:ascii="仿宋_GB2312" w:eastAsia="仿宋_GB2312"/>
          <w:sz w:val="32"/>
          <w:szCs w:val="32"/>
          <w:lang w:val="zh-CN"/>
        </w:rPr>
        <w:t>58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42</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单位无下属预算单位，下8个处室，</w:t>
      </w:r>
      <w:r>
        <w:rPr>
          <w:rFonts w:hint="eastAsia" w:ascii="仿宋_GB2312" w:eastAsia="仿宋_GB2312" w:cs="仿宋_GB2312"/>
          <w:kern w:val="0"/>
          <w:sz w:val="32"/>
          <w:szCs w:val="32"/>
          <w:lang w:val="zh-CN"/>
        </w:rPr>
        <w:t>分别是：</w:t>
      </w:r>
      <w:r>
        <w:rPr>
          <w:rFonts w:hint="eastAsia" w:ascii="仿宋_GB2312" w:eastAsia="仿宋_GB2312" w:cs="仿宋_GB2312"/>
          <w:sz w:val="32"/>
          <w:szCs w:val="32"/>
        </w:rPr>
        <w:t>办公室、综合科、预算科、国资企业科、国库科、政府采购办、乡财局、国库支付中心</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2023年度收入总计1,393.39万元，其中：本年收入合计1,393.39万元，使用非财政拨款结余0.00万元，年初结转和结余0.00万元。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2023年度支出总计1,393.39万元，其中：本年支出合计1,393.37万元，结余分配0.00万元，年末结转和结余0.02万元。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增加191.84万元</w:t>
      </w:r>
      <w:r>
        <w:rPr>
          <w:rFonts w:hint="eastAsia" w:ascii="仿宋_GB2312" w:eastAsia="仿宋_GB2312"/>
          <w:sz w:val="32"/>
          <w:szCs w:val="32"/>
        </w:rPr>
        <w:t>，增长15.97%，主要原因是：本年单位增加木垒县税务局工作项目经费。</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本年收入1,393.39万元，其中：财政拨款收入</w:t>
      </w:r>
      <w:r>
        <w:rPr>
          <w:rFonts w:hint="eastAsia" w:ascii="仿宋_GB2312" w:eastAsia="仿宋_GB2312"/>
          <w:sz w:val="32"/>
          <w:szCs w:val="32"/>
          <w:lang w:val="zh-CN"/>
        </w:rPr>
        <w:t>1,393.37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本年支出1,393.37万元，其中：基本支出1,230.79万元，占88.33%；项目支出162.58万元，占11.67%；上缴上级支出0.00万元，占0.00%；经营支出0.00万元，占0.00%；对附属单位补助支出0.00万元，占0.00%。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1,393.37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1,393.37</w:t>
      </w:r>
      <w:r>
        <w:rPr>
          <w:rFonts w:hint="eastAsia" w:ascii="仿宋_GB2312" w:eastAsia="仿宋_GB2312"/>
          <w:sz w:val="32"/>
          <w:szCs w:val="32"/>
        </w:rPr>
        <w:t>万元。财政拨款支出总计</w:t>
      </w:r>
      <w:r>
        <w:rPr>
          <w:rFonts w:hint="eastAsia" w:ascii="仿宋_GB2312" w:eastAsia="仿宋_GB2312"/>
          <w:sz w:val="32"/>
          <w:szCs w:val="32"/>
          <w:lang w:val="zh-CN"/>
        </w:rPr>
        <w:t>1,393.37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1,393.37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增加193.49万元</w:t>
      </w:r>
      <w:r>
        <w:rPr>
          <w:rFonts w:hint="eastAsia" w:ascii="仿宋_GB2312" w:eastAsia="仿宋_GB2312"/>
          <w:sz w:val="32"/>
          <w:szCs w:val="32"/>
        </w:rPr>
        <w:t>，增长16.13%,主要原因是：本年单位增加木垒县税务局工作项目经费。与年初预算相比，年初预算数</w:t>
      </w:r>
      <w:r>
        <w:rPr>
          <w:rFonts w:hint="eastAsia" w:ascii="仿宋_GB2312" w:eastAsia="仿宋_GB2312"/>
          <w:sz w:val="32"/>
          <w:szCs w:val="32"/>
          <w:lang w:val="zh-CN"/>
        </w:rPr>
        <w:t>1,215.46</w:t>
      </w:r>
      <w:r>
        <w:rPr>
          <w:rFonts w:hint="eastAsia" w:ascii="仿宋_GB2312" w:eastAsia="仿宋_GB2312"/>
          <w:sz w:val="32"/>
          <w:szCs w:val="32"/>
        </w:rPr>
        <w:t>万元，决算数</w:t>
      </w:r>
      <w:r>
        <w:rPr>
          <w:rFonts w:hint="eastAsia" w:ascii="仿宋_GB2312" w:eastAsia="仿宋_GB2312"/>
          <w:sz w:val="32"/>
          <w:szCs w:val="32"/>
          <w:lang w:val="zh-CN"/>
        </w:rPr>
        <w:t>1,393.37</w:t>
      </w:r>
      <w:r>
        <w:rPr>
          <w:rFonts w:hint="eastAsia" w:ascii="仿宋_GB2312" w:eastAsia="仿宋_GB2312"/>
          <w:sz w:val="32"/>
          <w:szCs w:val="32"/>
        </w:rPr>
        <w:t>万元，预决算差异率14.64%，主要原因是：本年单位人员增加、年中追加人员薪资、津贴补贴、奖金等。</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2023年度一般公共预算财政拨款支出1,393.37万元，占本年支出合计的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增加193.49万元</w:t>
      </w:r>
      <w:r>
        <w:rPr>
          <w:rFonts w:hint="eastAsia" w:ascii="仿宋_GB2312" w:eastAsia="仿宋_GB2312"/>
          <w:sz w:val="32"/>
          <w:szCs w:val="32"/>
        </w:rPr>
        <w:t>，增长16.13%,主要原因是：本年单位增加木垒县税务局工作项目经费。与年初预算相比，年初预算数</w:t>
      </w:r>
      <w:r>
        <w:rPr>
          <w:rFonts w:hint="eastAsia" w:ascii="仿宋_GB2312" w:eastAsia="仿宋_GB2312"/>
          <w:sz w:val="32"/>
          <w:szCs w:val="32"/>
          <w:lang w:val="zh-CN"/>
        </w:rPr>
        <w:t>1,215.46</w:t>
      </w:r>
      <w:r>
        <w:rPr>
          <w:rFonts w:hint="eastAsia" w:ascii="仿宋_GB2312" w:eastAsia="仿宋_GB2312"/>
          <w:sz w:val="32"/>
          <w:szCs w:val="32"/>
        </w:rPr>
        <w:t>万元，决算数</w:t>
      </w:r>
      <w:r>
        <w:rPr>
          <w:rFonts w:hint="eastAsia" w:ascii="仿宋_GB2312" w:eastAsia="仿宋_GB2312"/>
          <w:sz w:val="32"/>
          <w:szCs w:val="32"/>
          <w:lang w:val="zh-CN"/>
        </w:rPr>
        <w:t>1,393.37</w:t>
      </w:r>
      <w:r>
        <w:rPr>
          <w:rFonts w:hint="eastAsia" w:ascii="仿宋_GB2312" w:eastAsia="仿宋_GB2312"/>
          <w:sz w:val="32"/>
          <w:szCs w:val="32"/>
        </w:rPr>
        <w:t>万元，预决算差异率</w:t>
      </w:r>
      <w:r>
        <w:rPr>
          <w:rFonts w:hint="eastAsia" w:ascii="仿宋_GB2312" w:eastAsia="仿宋_GB2312"/>
          <w:sz w:val="32"/>
          <w:szCs w:val="32"/>
          <w:lang w:val="zh-CN"/>
        </w:rPr>
        <w:t>14.64%</w:t>
      </w:r>
      <w:r>
        <w:rPr>
          <w:rFonts w:hint="eastAsia" w:ascii="仿宋_GB2312" w:eastAsia="仿宋_GB2312"/>
          <w:sz w:val="32"/>
          <w:szCs w:val="32"/>
        </w:rPr>
        <w:t>，主要原因是：本年单位人员增加、年中追加人员薪资、津贴补贴、奖金等。</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1,170.87</w:t>
      </w:r>
      <w:r>
        <w:rPr>
          <w:rFonts w:ascii="仿宋_GB2312" w:eastAsia="仿宋_GB2312"/>
          <w:kern w:val="2"/>
          <w:sz w:val="32"/>
          <w:szCs w:val="32"/>
          <w:lang w:val="zh-CN"/>
        </w:rPr>
        <w:t>万元，占</w:t>
      </w:r>
      <w:r>
        <w:rPr>
          <w:rFonts w:hint="eastAsia" w:ascii="仿宋_GB2312" w:eastAsia="仿宋_GB2312"/>
          <w:kern w:val="2"/>
          <w:sz w:val="32"/>
          <w:szCs w:val="32"/>
          <w:lang w:val="zh-CN"/>
        </w:rPr>
        <w:t>84.03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128.87</w:t>
      </w:r>
      <w:r>
        <w:rPr>
          <w:rFonts w:ascii="仿宋_GB2312" w:eastAsia="仿宋_GB2312"/>
          <w:kern w:val="2"/>
          <w:sz w:val="32"/>
          <w:szCs w:val="32"/>
          <w:lang w:val="zh-CN"/>
        </w:rPr>
        <w:t>万元，占</w:t>
      </w:r>
      <w:r>
        <w:rPr>
          <w:rFonts w:hint="eastAsia" w:ascii="仿宋_GB2312" w:eastAsia="仿宋_GB2312"/>
          <w:kern w:val="2"/>
          <w:sz w:val="32"/>
          <w:szCs w:val="32"/>
          <w:lang w:val="zh-CN"/>
        </w:rPr>
        <w:t>9.25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69.19</w:t>
      </w:r>
      <w:r>
        <w:rPr>
          <w:rFonts w:ascii="仿宋_GB2312" w:eastAsia="仿宋_GB2312"/>
          <w:kern w:val="2"/>
          <w:sz w:val="32"/>
          <w:szCs w:val="32"/>
          <w:lang w:val="zh-CN"/>
        </w:rPr>
        <w:t>万元，占</w:t>
      </w:r>
      <w:r>
        <w:rPr>
          <w:rFonts w:hint="eastAsia" w:ascii="仿宋_GB2312" w:eastAsia="仿宋_GB2312"/>
          <w:kern w:val="2"/>
          <w:sz w:val="32"/>
          <w:szCs w:val="32"/>
          <w:lang w:val="zh-CN"/>
        </w:rPr>
        <w:t>4.97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24.43</w:t>
      </w:r>
      <w:r>
        <w:rPr>
          <w:rFonts w:ascii="仿宋_GB2312" w:eastAsia="仿宋_GB2312"/>
          <w:kern w:val="2"/>
          <w:sz w:val="32"/>
          <w:szCs w:val="32"/>
          <w:lang w:val="zh-CN"/>
        </w:rPr>
        <w:t>万元，占</w:t>
      </w:r>
      <w:r>
        <w:rPr>
          <w:rFonts w:hint="eastAsia" w:ascii="仿宋_GB2312" w:eastAsia="仿宋_GB2312"/>
          <w:kern w:val="2"/>
          <w:sz w:val="32"/>
          <w:szCs w:val="32"/>
          <w:lang w:val="zh-CN"/>
        </w:rPr>
        <w:t>1.75</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1.一般公共服务支出（类）财政事务（款）行政运行（项）:支出决算数为1,020.87万元，比上年决算增加139.33万元，增长15.81%，主要原因是：本年单位人员增加、相应增加人员薪资、津贴补贴、奖金等。</w:t>
      </w:r>
    </w:p>
    <w:p>
      <w:pPr>
        <w:ind w:firstLine="640" w:firstLineChars="200"/>
        <w:jc w:val="left"/>
        <w:rPr>
          <w:rFonts w:ascii="仿宋_GB2312" w:eastAsia="仿宋_GB2312"/>
          <w:sz w:val="32"/>
          <w:szCs w:val="32"/>
        </w:rPr>
      </w:pPr>
      <w:r>
        <w:rPr>
          <w:rFonts w:hint="eastAsia" w:ascii="仿宋_GB2312" w:eastAsia="仿宋_GB2312"/>
          <w:sz w:val="32"/>
          <w:szCs w:val="32"/>
        </w:rPr>
        <w:t>2.一般公共服务支出（类）税收事务（款）其他税收事务支出（项）:支出决算数为150.00万元，比上年决算增加20.00万元，增长15.38%，主要原因是：本年单位新增木垒县税务局工作项目经费。</w:t>
      </w:r>
    </w:p>
    <w:p>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3.住房保障支出（类）住房改革支出（款）住房公积金（项）:支出决算数为69.19万元，比上年决算增加2.25万元，增长3.36%，主要原因是：本年单位人员增加，相应增加住房公积金。</w:t>
      </w:r>
    </w:p>
    <w:p>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4.社会保障和就业支出（类）抚恤（款）死亡抚恤（项）:支出决算数为0.58万元，比上年决算增加0.00万元，增长0.00%，主要原因是：与上年对比无差异。</w:t>
      </w:r>
    </w:p>
    <w:p>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5.社会保障和就业支出（类）行政事业单位养老支出（款）行政单位离退休（项）:支出决算数为12.21万元，比上年决算增加6.99万元，增长134.18%，主要原因是：单位本年公务员绩效奖资金增加。</w:t>
      </w:r>
    </w:p>
    <w:p>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24.53万元，比上年决算增加17.99万元，增长274.78%，主要原因是：本年单位人员增加，职业年金缴费增加。</w:t>
      </w:r>
    </w:p>
    <w:p>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7.其他支出（类）其他支出（款）其他支出（项）:支出决算数为24.43万元，比上年决算增加0.98万元，增长4.18%，主要原因是：本年单位补发驻村工作队人员生活补助经费。</w:t>
      </w:r>
    </w:p>
    <w:p>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91.56万元，比上年决算增加5.95万元，增长6.95%，主要原因是：单位人员增加，养老保险缴费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1,230.79万元，其中：人员经费997.76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公用经费233.03万元，包括：办公费、印刷费、水费、电费、邮电费、取暖费、差旅费、维修（护）费、租赁费、培训费、公务接待费、劳务费、委托业务费、工会经费、公务用车运行维护费。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“三公”经费支出4.17万元，</w:t>
      </w:r>
      <w:r>
        <w:rPr>
          <w:rFonts w:hint="eastAsia" w:ascii="仿宋_GB2312" w:eastAsia="仿宋_GB2312"/>
          <w:sz w:val="32"/>
          <w:szCs w:val="32"/>
        </w:rPr>
        <w:t>比上年</w:t>
      </w:r>
      <w:r>
        <w:rPr>
          <w:rFonts w:hint="eastAsia" w:ascii="仿宋_GB2312" w:eastAsia="仿宋_GB2312"/>
          <w:sz w:val="32"/>
          <w:szCs w:val="32"/>
          <w:lang w:val="zh-CN"/>
        </w:rPr>
        <w:t>减少0.09万元，</w:t>
      </w:r>
      <w:r>
        <w:rPr>
          <w:rFonts w:hint="eastAsia" w:ascii="仿宋_GB2312" w:eastAsia="仿宋_GB2312"/>
          <w:sz w:val="32"/>
          <w:szCs w:val="32"/>
        </w:rPr>
        <w:t>下降2.11%,</w:t>
      </w:r>
      <w:r>
        <w:rPr>
          <w:rFonts w:hint="eastAsia" w:ascii="仿宋_GB2312" w:eastAsia="仿宋_GB2312"/>
          <w:sz w:val="32"/>
          <w:szCs w:val="32"/>
          <w:lang w:val="zh-CN"/>
        </w:rPr>
        <w:t>主要原因是：绿色出行，车辆维护维修费，燃油费等减少。其中：因公出国（境）费支出0.00万元，占0.00%，比上年增加0.00万元，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主要原因是：单位本年无此项经费；公务用车购置及运行维护费支出3.93万元，占94.24%，比上年减少0.33万元，</w:t>
      </w:r>
      <w:r>
        <w:rPr>
          <w:rFonts w:hint="eastAsia" w:ascii="仿宋_GB2312" w:eastAsia="仿宋_GB2312"/>
          <w:sz w:val="32"/>
          <w:szCs w:val="32"/>
        </w:rPr>
        <w:t>下降7.75%,</w:t>
      </w:r>
      <w:r>
        <w:rPr>
          <w:rFonts w:hint="eastAsia" w:ascii="仿宋_GB2312" w:eastAsia="仿宋_GB2312"/>
          <w:sz w:val="32"/>
          <w:szCs w:val="32"/>
          <w:lang w:val="zh-CN"/>
        </w:rPr>
        <w:t>主要原因是：绿色出行，车辆维护维修费，燃油费等减少；公务接待费支出0.24万元，占5.76%，比上年增加0.24万元，</w:t>
      </w:r>
      <w:r>
        <w:rPr>
          <w:rFonts w:hint="eastAsia" w:ascii="仿宋_GB2312" w:eastAsia="仿宋_GB2312"/>
          <w:sz w:val="32"/>
          <w:szCs w:val="32"/>
        </w:rPr>
        <w:t>增长100.00%,</w:t>
      </w:r>
      <w:r>
        <w:rPr>
          <w:rFonts w:hint="eastAsia" w:ascii="仿宋_GB2312" w:eastAsia="仿宋_GB2312"/>
          <w:sz w:val="32"/>
          <w:szCs w:val="32"/>
          <w:lang w:val="zh-CN"/>
        </w:rPr>
        <w:t>主要原因是：</w:t>
      </w:r>
      <w:r>
        <w:rPr>
          <w:rFonts w:hint="eastAsia" w:ascii="仿宋_GB2312" w:eastAsia="仿宋_GB2312"/>
          <w:kern w:val="0"/>
          <w:sz w:val="32"/>
        </w:rPr>
        <w:t>上级业务指导及检查次数增加，公务接待费用增加</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3.93万元，其中：公务用车购置费0.00万元，公务用车运行维护费3.93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原因是：对比无差异。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公务接待费0.24万元，开支内容包括住宿费、餐费等。单位全年安排的国内公务接待4批次，26人次。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预算数4.17万元，决算数4.17万元，预决算差异率0.00%，主要原因是：严格按照预算执行，预决算对比无差异。其中：因公出国（境）费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预算数3.93万元，决算数3.93万元，预决算差异率0.00%，主要原因是：严格按照预算执行，预决算对比无差异；公务接待费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预算数0.24万元，决算数0.24万元，预决算差异率0.00%，主要原因是：严格按照预算执行，预决算对比无差异。</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2023年度木垒哈萨克自治县财政局（行政单位和参照公务员法管理事业单位）机关运行经费支出233.03万元，比上年增加118.72万元，增长103.86%，主要原因是：本年单位劳务费、委托业务费、工会经费增加。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2023年度政府采购支出总额19.42万元，其中：政府采购货物支出5.49万元、政府采购工程支出0.00万元、政府采购服务支出13.93万元。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授予中小企业合同金额17.47万元，占政府采购支出总额的89.96%，其中：授予小微企业合同金额17.47万元，占政府采购支出总额的89.96%。</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1,264.28万元，房屋3,204.03平方米，价值845.13万元。车辆2辆，价值40.28万元，其中：副部（省）级及以上领导用车0辆、主要负责人用车0辆、机要通信用车0辆、应急保障用车0辆、执法执勤用车0辆、特种专业技术用车0辆、离退休干部服务用车0辆、其他用车2辆，其他用车主要是：单位</w:t>
      </w:r>
      <w:r>
        <w:rPr>
          <w:rFonts w:hint="eastAsia" w:ascii="仿宋_GB2312" w:eastAsia="仿宋_GB2312"/>
          <w:sz w:val="32"/>
          <w:szCs w:val="32"/>
          <w:lang w:val="zh-CN"/>
        </w:rPr>
        <w:t>业务用车</w:t>
      </w:r>
      <w:r>
        <w:rPr>
          <w:rFonts w:hint="eastAsia" w:ascii="仿宋_GB2312" w:eastAsia="仿宋_GB2312"/>
          <w:sz w:val="32"/>
          <w:szCs w:val="32"/>
        </w:rPr>
        <w:t>；单价100万元（含）以上设备（不含车辆）0台（套）。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1,393.39</w:t>
      </w:r>
      <w:r>
        <w:rPr>
          <w:rFonts w:hint="eastAsia" w:ascii="仿宋_GB2312" w:eastAsia="仿宋_GB2312"/>
          <w:sz w:val="32"/>
          <w:szCs w:val="32"/>
        </w:rPr>
        <w:t>万元，实际执行总额</w:t>
      </w:r>
      <w:r>
        <w:rPr>
          <w:rFonts w:ascii="仿宋_GB2312" w:eastAsia="仿宋_GB2312"/>
          <w:sz w:val="32"/>
          <w:szCs w:val="32"/>
        </w:rPr>
        <w:t>1,393.3</w:t>
      </w:r>
      <w:r>
        <w:rPr>
          <w:rFonts w:hint="eastAsia" w:ascii="仿宋_GB2312" w:eastAsia="仿宋_GB2312"/>
          <w:sz w:val="32"/>
          <w:szCs w:val="32"/>
        </w:rPr>
        <w:t>7万元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预算绩效评价项目3个，全年预算数</w:t>
      </w:r>
      <w:r>
        <w:rPr>
          <w:rFonts w:ascii="仿宋_GB2312" w:eastAsia="仿宋_GB2312"/>
          <w:sz w:val="32"/>
          <w:szCs w:val="32"/>
        </w:rPr>
        <w:t>181.43</w:t>
      </w:r>
      <w:r>
        <w:rPr>
          <w:rFonts w:hint="eastAsia" w:ascii="仿宋_GB2312" w:eastAsia="仿宋_GB2312"/>
          <w:sz w:val="32"/>
          <w:szCs w:val="32"/>
        </w:rPr>
        <w:t>万元，全年执行数</w:t>
      </w:r>
      <w:r>
        <w:rPr>
          <w:rFonts w:ascii="仿宋_GB2312" w:eastAsia="仿宋_GB2312"/>
          <w:sz w:val="32"/>
          <w:szCs w:val="32"/>
        </w:rPr>
        <w:t>181.01</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944"/>
        <w:gridCol w:w="867"/>
        <w:gridCol w:w="1333"/>
        <w:gridCol w:w="1317"/>
        <w:gridCol w:w="1350"/>
        <w:gridCol w:w="1133"/>
        <w:gridCol w:w="933"/>
        <w:gridCol w:w="645"/>
      </w:tblGrid>
      <w:tr>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CellMar>
            <w:top w:w="0" w:type="dxa"/>
            <w:left w:w="108" w:type="dxa"/>
            <w:bottom w:w="0" w:type="dxa"/>
            <w:right w:w="108" w:type="dxa"/>
          </w:tblCellMar>
        </w:tblPrEx>
        <w:trPr>
          <w:trHeight w:val="660"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578"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木垒县财政局</w:t>
            </w:r>
          </w:p>
        </w:tc>
      </w:tr>
      <w:tr>
        <w:tblPrEx>
          <w:tblCellMar>
            <w:top w:w="0" w:type="dxa"/>
            <w:left w:w="108" w:type="dxa"/>
            <w:bottom w:w="0" w:type="dxa"/>
            <w:right w:w="108" w:type="dxa"/>
          </w:tblCellMar>
        </w:tblPrEx>
        <w:trPr>
          <w:trHeight w:val="570"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1,215.46</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1,393.39</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1,393.37</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r>
      <w:tr>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r>
      <w:tr>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1,215.46</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1,393.39</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1,393.37</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trHeight w:val="705"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51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4061"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CellMar>
            <w:top w:w="0" w:type="dxa"/>
            <w:left w:w="108" w:type="dxa"/>
            <w:bottom w:w="0" w:type="dxa"/>
            <w:right w:w="108" w:type="dxa"/>
          </w:tblCellMar>
        </w:tblPrEx>
        <w:trPr>
          <w:trHeight w:val="200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351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加强财政支出管理，压缩一般性支出，确保“三公”经费在上年预算的基础上减少。强化部门预算管理，推动各预算单位预算绩效管理工作，指导、监督、检查财政支出绩效评价，对县级财政支出重大项目组织评价等。完成年度政府采购管理工作。维护地方金融秩序，防范化解地方政府债务风险；保障县财政局圆满完成各项工作任务。</w:t>
            </w:r>
          </w:p>
        </w:tc>
        <w:tc>
          <w:tcPr>
            <w:tcW w:w="406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截止2023年年底，我单位地方一般公共预算收入完成5.6亿元，较上年同期增收0.69亿元，增长14.2%，完成预算的98.0%，各项支出事项完整、规范、准确率达到100%，预决算信息公开率100%， 预算绩效管理覆盖率100%，全县财政收入增加，提高了财政资金配置效率。</w:t>
            </w:r>
          </w:p>
        </w:tc>
      </w:tr>
      <w:tr>
        <w:tblPrEx>
          <w:tblCellMar>
            <w:top w:w="0" w:type="dxa"/>
            <w:left w:w="108" w:type="dxa"/>
            <w:bottom w:w="0" w:type="dxa"/>
            <w:right w:w="108" w:type="dxa"/>
          </w:tblCellMar>
        </w:tblPrEx>
        <w:trPr>
          <w:trHeight w:val="579"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CellMar>
            <w:top w:w="0" w:type="dxa"/>
            <w:left w:w="108" w:type="dxa"/>
            <w:bottom w:w="0" w:type="dxa"/>
            <w:right w:w="108" w:type="dxa"/>
          </w:tblCellMar>
        </w:tblPrEx>
        <w:trPr>
          <w:trHeight w:val="741"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保障在职办公人员数量</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&gt;=57人</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中共木垒县委员会办公室木垒县人民政府办公室关于印发《木垒哈萨克自治县财政局只能配置、内设机构和人员编制规定》的通知</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57人</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CellMar>
            <w:top w:w="0" w:type="dxa"/>
            <w:left w:w="108" w:type="dxa"/>
            <w:bottom w:w="0" w:type="dxa"/>
            <w:right w:w="108" w:type="dxa"/>
          </w:tblCellMar>
        </w:tblPrEx>
        <w:trPr>
          <w:trHeight w:val="741"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41"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全县召开非法集资宣传会</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4次</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w:t>
            </w:r>
          </w:p>
        </w:tc>
      </w:tr>
      <w:tr>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召开全县财务人员培训会</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&gt;=1次</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1次</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国有企业安全生产覆盖率</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地方财政收入增长率</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&gt;=5%</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部门整体支出绩效评价权覆盖率</w:t>
            </w:r>
          </w:p>
        </w:tc>
        <w:tc>
          <w:tcPr>
            <w:tcW w:w="13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3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组织各类培训及学习次数</w:t>
            </w:r>
          </w:p>
        </w:tc>
        <w:tc>
          <w:tcPr>
            <w:tcW w:w="13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&gt;=20次</w:t>
            </w:r>
          </w:p>
        </w:tc>
        <w:tc>
          <w:tcPr>
            <w:tcW w:w="13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41次</w:t>
            </w:r>
          </w:p>
        </w:tc>
        <w:tc>
          <w:tcPr>
            <w:tcW w:w="6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r>
      <w:tr>
        <w:tblPrEx>
          <w:tblCellMar>
            <w:top w:w="0" w:type="dxa"/>
            <w:left w:w="108" w:type="dxa"/>
            <w:bottom w:w="0" w:type="dxa"/>
            <w:right w:w="108" w:type="dxa"/>
          </w:tblCellMar>
        </w:tblPrEx>
        <w:trPr>
          <w:trHeight w:val="741"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6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3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预算信息公开率</w:t>
            </w:r>
          </w:p>
        </w:tc>
        <w:tc>
          <w:tcPr>
            <w:tcW w:w="13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3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3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惠农惠民资金发放及时率</w:t>
            </w:r>
          </w:p>
        </w:tc>
        <w:tc>
          <w:tcPr>
            <w:tcW w:w="13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3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86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41"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6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39"/>
        <w:gridCol w:w="439"/>
        <w:gridCol w:w="1214"/>
        <w:gridCol w:w="535"/>
        <w:gridCol w:w="1091"/>
        <w:gridCol w:w="559"/>
        <w:gridCol w:w="806"/>
        <w:gridCol w:w="810"/>
        <w:gridCol w:w="192"/>
        <w:gridCol w:w="364"/>
        <w:gridCol w:w="196"/>
        <w:gridCol w:w="552"/>
        <w:gridCol w:w="375"/>
        <w:gridCol w:w="727"/>
      </w:tblGrid>
      <w:tr>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CellMar>
            <w:top w:w="0" w:type="dxa"/>
            <w:left w:w="108" w:type="dxa"/>
            <w:bottom w:w="0" w:type="dxa"/>
            <w:right w:w="108" w:type="dxa"/>
          </w:tblCellMar>
        </w:tblPrEx>
        <w:trPr>
          <w:wAfter w:w="0" w:type="auto"/>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2"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2023年第三方服务费、咨询费、运行维护费</w:t>
            </w:r>
          </w:p>
        </w:tc>
      </w:tr>
      <w:tr>
        <w:tblPrEx>
          <w:tblCellMar>
            <w:top w:w="0" w:type="dxa"/>
            <w:left w:w="108" w:type="dxa"/>
            <w:bottom w:w="0" w:type="dxa"/>
            <w:right w:w="108" w:type="dxa"/>
          </w:tblCellMar>
        </w:tblPrEx>
        <w:trPr>
          <w:wAfter w:w="0" w:type="auto"/>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0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r>
      <w:tr>
        <w:tblPrEx>
          <w:tblCellMar>
            <w:top w:w="0" w:type="dxa"/>
            <w:left w:w="108" w:type="dxa"/>
            <w:bottom w:w="0" w:type="dxa"/>
            <w:right w:w="108" w:type="dxa"/>
          </w:tblCellMar>
        </w:tblPrEx>
        <w:trPr>
          <w:wAfter w:w="0" w:type="auto"/>
          <w:trHeight w:val="480" w:hRule="atLeast"/>
          <w:jc w:val="center"/>
        </w:trPr>
        <w:tc>
          <w:tcPr>
            <w:tcW w:w="8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wAfter w:w="0" w:type="auto"/>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CellMar>
            <w:top w:w="0" w:type="dxa"/>
            <w:left w:w="108" w:type="dxa"/>
            <w:bottom w:w="0" w:type="dxa"/>
            <w:right w:w="108" w:type="dxa"/>
          </w:tblCellMar>
        </w:tblPrEx>
        <w:trPr>
          <w:wAfter w:w="0" w:type="auto"/>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288"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4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1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wAfter w:w="0" w:type="auto"/>
          <w:trHeight w:val="540"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45"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高效、快捷完成财政局各项工作，木垒县财政局通过政府采购，聘请不少于8家第三方服务机构协助单位部分工作，一是加强财政监督管理；二是加强财政预算绩效管理；三是推进预算一体化建设；四是推动政府采购规范化管理；进一步推进“政采云”线上采购平台见啥；五是加强对金融行业的监管，防范非法集资，建立非法集资预警平台建设。</w:t>
            </w:r>
          </w:p>
        </w:tc>
        <w:tc>
          <w:tcPr>
            <w:tcW w:w="3216"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自评之日，本项目已聘请预算2.0服务系统、聘请第三方服务机构数量8家，使用各类平台数量4个。电子票据中心系统、政采云系、绩效系统、绩效审核、内控会审系统、国库电子支付系统、非法集资检测预警系统等9家第三方服务机构协助单位部分工作，支付费用138.16万元，通过此项目，进一步加强了财政预算一体化的建设，解决了系统中遇见的一些问题，提高了办公质量。</w:t>
            </w:r>
          </w:p>
        </w:tc>
      </w:tr>
      <w:tr>
        <w:tblPrEx>
          <w:tblCellMar>
            <w:top w:w="0" w:type="dxa"/>
            <w:left w:w="108" w:type="dxa"/>
            <w:bottom w:w="0" w:type="dxa"/>
            <w:right w:w="108" w:type="dxa"/>
          </w:tblCellMar>
        </w:tblPrEx>
        <w:trPr>
          <w:wAfter w:w="0" w:type="auto"/>
          <w:trHeight w:val="312"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18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99"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监管全县预算单位数量</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&gt;=108家</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=108家</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聘请第三方服务机构数量</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&gt;=8家</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=8家</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使用各类平台数量</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5.36</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因工作需求，平台数量增加。</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系统故障导致影响工作效率事件</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各类平台正常运转率</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金融行业监管率</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相关部门满意度</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8" w:hRule="atLeast"/>
          <w:jc w:val="center"/>
        </w:trPr>
        <w:tc>
          <w:tcPr>
            <w:tcW w:w="589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97.36分</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1536"/>
        <w:gridCol w:w="54"/>
        <w:gridCol w:w="900"/>
        <w:gridCol w:w="559"/>
        <w:gridCol w:w="886"/>
        <w:gridCol w:w="780"/>
        <w:gridCol w:w="242"/>
        <w:gridCol w:w="402"/>
        <w:gridCol w:w="255"/>
        <w:gridCol w:w="557"/>
        <w:gridCol w:w="396"/>
        <w:gridCol w:w="751"/>
      </w:tblGrid>
      <w:tr>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CellMar>
            <w:top w:w="0" w:type="dxa"/>
            <w:left w:w="108" w:type="dxa"/>
            <w:bottom w:w="0" w:type="dxa"/>
            <w:right w:w="108" w:type="dxa"/>
          </w:tblCellMar>
        </w:tblPrEx>
        <w:trPr>
          <w:wAfter w:w="0" w:type="auto"/>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2023年第三方评估费、审计费</w:t>
            </w:r>
          </w:p>
        </w:tc>
      </w:tr>
      <w:tr>
        <w:tblPrEx>
          <w:tblCellMar>
            <w:top w:w="0" w:type="dxa"/>
            <w:left w:w="108" w:type="dxa"/>
            <w:bottom w:w="0" w:type="dxa"/>
            <w:right w:w="108" w:type="dxa"/>
          </w:tblCellMar>
        </w:tblPrEx>
        <w:trPr>
          <w:wAfter w:w="0" w:type="auto"/>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r>
      <w:tr>
        <w:tblPrEx>
          <w:tblCellMar>
            <w:top w:w="0" w:type="dxa"/>
            <w:left w:w="108" w:type="dxa"/>
            <w:bottom w:w="0" w:type="dxa"/>
            <w:right w:w="108" w:type="dxa"/>
          </w:tblCellMar>
        </w:tblPrEx>
        <w:trPr>
          <w:wAfter w:w="0" w:type="auto"/>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wAfter w:w="0" w:type="auto"/>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CellMar>
            <w:top w:w="0" w:type="dxa"/>
            <w:left w:w="108" w:type="dxa"/>
            <w:bottom w:w="0" w:type="dxa"/>
            <w:right w:w="108" w:type="dxa"/>
          </w:tblCellMar>
        </w:tblPrEx>
        <w:trPr>
          <w:wAfter w:w="0" w:type="auto"/>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wAfter w:w="0" w:type="auto"/>
          <w:trHeight w:val="165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高效、快捷、准确的完成财政局各项工作，木垒县财政局国资科通过邀请第三方对木垒县工程建设项目执行、支付情况及大额资金往来挂账情况进行专项审核，一是加强国有资产监督管理；二是推动国有资产规范化管理；三是出具审计报告保障国资科各项工作正常推进，有序开展。</w:t>
            </w:r>
          </w:p>
        </w:tc>
        <w:tc>
          <w:tcPr>
            <w:tcW w:w="338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聘请第三方机构的数量3家，审计建设工程数量229个，评估工程数量12处，完成工程报告12个，质量均达到95%以上。第三方高效、快捷、准确的完成对木垒县工程建设项目执行、支付情况及大额资金往来挂账情况的专项审核，有利于国有资产的监督管理，同时推动了国有资产的规范化管理，保障了国资科各项工作的正常推进，有序开展。</w:t>
            </w:r>
          </w:p>
        </w:tc>
      </w:tr>
      <w:tr>
        <w:tblPrEx>
          <w:tblCellMar>
            <w:top w:w="0" w:type="dxa"/>
            <w:left w:w="108" w:type="dxa"/>
            <w:bottom w:w="0" w:type="dxa"/>
            <w:right w:w="108" w:type="dxa"/>
          </w:tblCellMar>
        </w:tblPrEx>
        <w:trPr>
          <w:wAfter w:w="0" w:type="auto"/>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聘请第三方机构的数量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&gt;=3家</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=3家</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审计建设工程数量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&gt;=229个</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=229个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评估工程数量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&gt;=12处</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=12处</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完成评估报告数量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&gt;=12个</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专项审核覆盖率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审计完成及时率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审计建议采纳率（%）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被审计评估部门满意度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
        <w:gridCol w:w="471"/>
        <w:gridCol w:w="1293"/>
        <w:gridCol w:w="322"/>
        <w:gridCol w:w="1118"/>
        <w:gridCol w:w="557"/>
        <w:gridCol w:w="867"/>
        <w:gridCol w:w="763"/>
        <w:gridCol w:w="219"/>
        <w:gridCol w:w="392"/>
        <w:gridCol w:w="232"/>
        <w:gridCol w:w="503"/>
        <w:gridCol w:w="351"/>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9"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2023年度“为民办实事”驻村工作队经费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5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4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1" w:type="dxa"/>
            <w:gridSpan w:val="2"/>
            <w:vMerge w:val="continue"/>
            <w:vAlign w:val="center"/>
          </w:tcPr>
          <w:p>
            <w:pPr>
              <w:widowControl/>
              <w:jc w:val="left"/>
              <w:rPr>
                <w:rFonts w:hint="eastAsia" w:ascii="宋体" w:hAnsi="宋体" w:cs="宋体"/>
                <w:color w:val="000000"/>
                <w:kern w:val="0"/>
                <w:sz w:val="20"/>
                <w:szCs w:val="20"/>
              </w:rPr>
            </w:pPr>
          </w:p>
        </w:tc>
        <w:tc>
          <w:tcPr>
            <w:tcW w:w="16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6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96.77%</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1" w:type="dxa"/>
            <w:gridSpan w:val="2"/>
            <w:vMerge w:val="continue"/>
            <w:vAlign w:val="center"/>
          </w:tcPr>
          <w:p>
            <w:pPr>
              <w:widowControl/>
              <w:jc w:val="left"/>
              <w:rPr>
                <w:rFonts w:hint="eastAsia" w:ascii="宋体" w:hAnsi="宋体" w:cs="宋体"/>
                <w:color w:val="000000"/>
                <w:kern w:val="0"/>
                <w:sz w:val="20"/>
                <w:szCs w:val="20"/>
              </w:rPr>
            </w:pPr>
          </w:p>
        </w:tc>
        <w:tc>
          <w:tcPr>
            <w:tcW w:w="16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6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1" w:type="dxa"/>
            <w:gridSpan w:val="2"/>
            <w:vMerge w:val="continue"/>
            <w:vAlign w:val="center"/>
          </w:tcPr>
          <w:p>
            <w:pPr>
              <w:widowControl/>
              <w:jc w:val="left"/>
              <w:rPr>
                <w:rFonts w:hint="eastAsia" w:ascii="宋体" w:hAnsi="宋体" w:cs="宋体"/>
                <w:color w:val="000000"/>
                <w:kern w:val="0"/>
                <w:sz w:val="20"/>
                <w:szCs w:val="20"/>
              </w:rPr>
            </w:pPr>
          </w:p>
        </w:tc>
        <w:tc>
          <w:tcPr>
            <w:tcW w:w="16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18" w:type="dxa"/>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4" w:type="dxa"/>
            <w:gridSpan w:val="2"/>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2" w:type="dxa"/>
            <w:gridSpan w:val="2"/>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7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2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0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62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认真落实县党委、人民政府深化“为民办实事”驻村工作的部署要求，表彰先进、弘扬正气、鼓舞斗气、激励各级党组织和广大党员干部对标结表、履职尽责、义无反顾、奋勇争先，保障木垒县财政局驻三畦村“为民办实事”工作队2023年工资正常推进，有序开展。</w:t>
            </w:r>
          </w:p>
        </w:tc>
        <w:tc>
          <w:tcPr>
            <w:tcW w:w="3201"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目前，我单位已完成如下工作：保障工作队员数量5名，为民办实事工作队数量1个。完成了新户镇三畦村2023年度为民办实事驻村工作，为民办实事办好事8件，支付费用12.58万元，向村民宣传各项政策，及时解决村委会及村民各类问题，保障了村两委的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continue"/>
            <w:vAlign w:val="center"/>
          </w:tcPr>
          <w:p>
            <w:pPr>
              <w:widowControl/>
              <w:jc w:val="left"/>
              <w:rPr>
                <w:rFonts w:hint="eastAsia" w:ascii="宋体" w:hAnsi="宋体" w:cs="宋体"/>
                <w:color w:val="000000"/>
                <w:kern w:val="0"/>
                <w:sz w:val="20"/>
                <w:szCs w:val="20"/>
              </w:rPr>
            </w:pPr>
          </w:p>
        </w:tc>
        <w:tc>
          <w:tcPr>
            <w:tcW w:w="1294" w:type="dxa"/>
            <w:vMerge w:val="continue"/>
            <w:vAlign w:val="center"/>
          </w:tcPr>
          <w:p>
            <w:pPr>
              <w:widowControl/>
              <w:jc w:val="left"/>
              <w:rPr>
                <w:rFonts w:hint="eastAsia" w:ascii="宋体" w:hAnsi="宋体" w:cs="宋体"/>
                <w:color w:val="000000"/>
                <w:kern w:val="0"/>
                <w:sz w:val="20"/>
                <w:szCs w:val="20"/>
              </w:rPr>
            </w:pPr>
          </w:p>
        </w:tc>
        <w:tc>
          <w:tcPr>
            <w:tcW w:w="1997" w:type="dxa"/>
            <w:gridSpan w:val="3"/>
            <w:vMerge w:val="continue"/>
            <w:vAlign w:val="center"/>
          </w:tcPr>
          <w:p>
            <w:pPr>
              <w:widowControl/>
              <w:jc w:val="left"/>
              <w:rPr>
                <w:rFonts w:hint="eastAsia" w:ascii="宋体" w:hAnsi="宋体" w:cs="宋体"/>
                <w:color w:val="000000"/>
                <w:kern w:val="0"/>
                <w:sz w:val="20"/>
                <w:szCs w:val="20"/>
              </w:rPr>
            </w:pPr>
          </w:p>
        </w:tc>
        <w:tc>
          <w:tcPr>
            <w:tcW w:w="867" w:type="dxa"/>
            <w:vMerge w:val="continue"/>
            <w:vAlign w:val="center"/>
          </w:tcPr>
          <w:p>
            <w:pPr>
              <w:widowControl/>
              <w:jc w:val="left"/>
              <w:rPr>
                <w:rFonts w:hint="eastAsia" w:ascii="宋体" w:hAnsi="宋体" w:cs="宋体"/>
                <w:color w:val="000000"/>
                <w:kern w:val="0"/>
                <w:sz w:val="20"/>
                <w:szCs w:val="20"/>
              </w:rPr>
            </w:pPr>
          </w:p>
        </w:tc>
        <w:tc>
          <w:tcPr>
            <w:tcW w:w="763" w:type="dxa"/>
            <w:vMerge w:val="continue"/>
            <w:vAlign w:val="center"/>
          </w:tcPr>
          <w:p>
            <w:pPr>
              <w:widowControl/>
              <w:jc w:val="left"/>
              <w:rPr>
                <w:rFonts w:hint="eastAsia" w:ascii="宋体" w:hAnsi="宋体" w:cs="宋体"/>
                <w:color w:val="000000"/>
                <w:kern w:val="0"/>
                <w:sz w:val="20"/>
                <w:szCs w:val="20"/>
              </w:rPr>
            </w:pPr>
          </w:p>
        </w:tc>
        <w:tc>
          <w:tcPr>
            <w:tcW w:w="611" w:type="dxa"/>
            <w:gridSpan w:val="2"/>
            <w:vMerge w:val="continue"/>
            <w:vAlign w:val="center"/>
          </w:tcPr>
          <w:p>
            <w:pPr>
              <w:widowControl/>
              <w:jc w:val="left"/>
              <w:rPr>
                <w:rFonts w:hint="eastAsia" w:ascii="宋体" w:hAnsi="宋体" w:cs="宋体"/>
                <w:color w:val="000000"/>
                <w:kern w:val="0"/>
                <w:sz w:val="20"/>
                <w:szCs w:val="20"/>
              </w:rPr>
            </w:pPr>
          </w:p>
        </w:tc>
        <w:tc>
          <w:tcPr>
            <w:tcW w:w="735" w:type="dxa"/>
            <w:gridSpan w:val="2"/>
            <w:vMerge w:val="continue"/>
            <w:vAlign w:val="center"/>
          </w:tcPr>
          <w:p>
            <w:pPr>
              <w:widowControl/>
              <w:jc w:val="left"/>
              <w:rPr>
                <w:rFonts w:hint="eastAsia" w:ascii="宋体" w:hAnsi="宋体" w:cs="宋体"/>
                <w:color w:val="000000"/>
                <w:kern w:val="0"/>
                <w:sz w:val="20"/>
                <w:szCs w:val="20"/>
              </w:rPr>
            </w:pPr>
          </w:p>
        </w:tc>
        <w:tc>
          <w:tcPr>
            <w:tcW w:w="109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保障工作队员数量</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&gt;=5名</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=5名</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continue"/>
            <w:vAlign w:val="center"/>
          </w:tcPr>
          <w:p>
            <w:pPr>
              <w:widowControl/>
              <w:jc w:val="left"/>
              <w:rPr>
                <w:rFonts w:hint="eastAsia" w:ascii="宋体" w:hAnsi="宋体" w:cs="宋体"/>
                <w:color w:val="000000"/>
                <w:kern w:val="0"/>
                <w:sz w:val="20"/>
                <w:szCs w:val="20"/>
              </w:rPr>
            </w:pP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为民办实事工作队数量</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continue"/>
            <w:vAlign w:val="center"/>
          </w:tcPr>
          <w:p>
            <w:pPr>
              <w:widowControl/>
              <w:jc w:val="left"/>
              <w:rPr>
                <w:rFonts w:hint="eastAsia" w:ascii="宋体" w:hAnsi="宋体" w:cs="宋体"/>
                <w:color w:val="000000"/>
                <w:kern w:val="0"/>
                <w:sz w:val="20"/>
                <w:szCs w:val="20"/>
              </w:rPr>
            </w:pP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为民办好事办实事工作完成率</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continue"/>
            <w:vAlign w:val="center"/>
          </w:tcPr>
          <w:p>
            <w:pPr>
              <w:widowControl/>
              <w:jc w:val="left"/>
              <w:rPr>
                <w:rFonts w:hint="eastAsia" w:ascii="宋体" w:hAnsi="宋体" w:cs="宋体"/>
                <w:color w:val="000000"/>
                <w:kern w:val="0"/>
                <w:sz w:val="20"/>
                <w:szCs w:val="20"/>
              </w:rPr>
            </w:pP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工作完成及时率</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continue"/>
            <w:vAlign w:val="center"/>
          </w:tcPr>
          <w:p>
            <w:pPr>
              <w:widowControl/>
              <w:jc w:val="left"/>
              <w:rPr>
                <w:rFonts w:hint="eastAsia" w:ascii="宋体" w:hAnsi="宋体" w:cs="宋体"/>
                <w:color w:val="000000"/>
                <w:kern w:val="0"/>
                <w:sz w:val="20"/>
                <w:szCs w:val="20"/>
              </w:rPr>
            </w:pP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continue"/>
            <w:vAlign w:val="center"/>
          </w:tcPr>
          <w:p>
            <w:pPr>
              <w:widowControl/>
              <w:jc w:val="left"/>
              <w:rPr>
                <w:rFonts w:hint="eastAsia" w:ascii="宋体" w:hAnsi="宋体" w:cs="宋体"/>
                <w:color w:val="000000"/>
                <w:kern w:val="0"/>
                <w:sz w:val="20"/>
                <w:szCs w:val="20"/>
              </w:rPr>
            </w:pP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continue"/>
            <w:vAlign w:val="center"/>
          </w:tcPr>
          <w:p>
            <w:pPr>
              <w:widowControl/>
              <w:jc w:val="left"/>
              <w:rPr>
                <w:rFonts w:hint="eastAsia" w:ascii="宋体" w:hAnsi="宋体" w:cs="宋体"/>
                <w:color w:val="000000"/>
                <w:kern w:val="0"/>
                <w:sz w:val="20"/>
                <w:szCs w:val="20"/>
              </w:rPr>
            </w:pP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切实为民办好事办实事数量</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&gt;=7件</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=8件</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17.2</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因当地居民需要，为民办实事数量增加。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vMerge w:val="continue"/>
            <w:vAlign w:val="center"/>
          </w:tcPr>
          <w:p>
            <w:pPr>
              <w:widowControl/>
              <w:jc w:val="left"/>
              <w:rPr>
                <w:rFonts w:hint="eastAsia" w:ascii="宋体" w:hAnsi="宋体" w:cs="宋体"/>
                <w:color w:val="000000"/>
                <w:kern w:val="0"/>
                <w:sz w:val="20"/>
                <w:szCs w:val="20"/>
              </w:rPr>
            </w:pP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pPr>
              <w:widowControl/>
              <w:jc w:val="left"/>
              <w:rPr>
                <w:rFonts w:hint="eastAsia" w:ascii="宋体" w:hAnsi="宋体" w:cs="宋体"/>
                <w:color w:val="000000"/>
                <w:kern w:val="0"/>
                <w:sz w:val="20"/>
                <w:szCs w:val="20"/>
              </w:rPr>
            </w:pPr>
          </w:p>
        </w:tc>
        <w:tc>
          <w:tcPr>
            <w:tcW w:w="4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86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97.2分</w:t>
            </w:r>
          </w:p>
        </w:tc>
        <w:tc>
          <w:tcPr>
            <w:tcW w:w="10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167527"/>
    <w:rsid w:val="00077B23"/>
    <w:rsid w:val="00167527"/>
    <w:rsid w:val="00213C59"/>
    <w:rsid w:val="002F4122"/>
    <w:rsid w:val="003210CE"/>
    <w:rsid w:val="00487DA7"/>
    <w:rsid w:val="004B38F1"/>
    <w:rsid w:val="007E6008"/>
    <w:rsid w:val="0083409B"/>
    <w:rsid w:val="00886C8F"/>
    <w:rsid w:val="00900D43"/>
    <w:rsid w:val="00AD5C61"/>
    <w:rsid w:val="00B70D59"/>
    <w:rsid w:val="00B75C40"/>
    <w:rsid w:val="00CA5F28"/>
    <w:rsid w:val="00DD415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F1549"/>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132C7"/>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FA7CB0"/>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9277</Words>
  <Characters>10582</Characters>
  <Lines>88</Lines>
  <Paragraphs>25</Paragraphs>
  <TotalTime>35</TotalTime>
  <ScaleCrop>false</ScaleCrop>
  <LinksUpToDate>false</LinksUpToDate>
  <CharactersWithSpaces>10725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2024-09-02T08:56:37Z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